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3"/>
        <w:gridCol w:w="5633"/>
      </w:tblGrid>
      <w:tr w:rsidR="00E45D91" w:rsidTr="00165225">
        <w:trPr>
          <w:trHeight w:val="982"/>
        </w:trPr>
        <w:tc>
          <w:tcPr>
            <w:tcW w:w="3703" w:type="dxa"/>
            <w:vMerge w:val="restart"/>
          </w:tcPr>
          <w:p w:rsidR="00E45D91" w:rsidRDefault="00E45D91" w:rsidP="00165225">
            <w:r>
              <w:rPr>
                <w:b/>
                <w:noProof/>
                <w:color w:val="0070C0"/>
                <w:sz w:val="24"/>
                <w:szCs w:val="24"/>
                <w:u w:val="single"/>
              </w:rPr>
              <w:drawing>
                <wp:inline distT="0" distB="0" distL="0" distR="0" wp14:anchorId="5C6A4BCD" wp14:editId="74EAD44E">
                  <wp:extent cx="1647825" cy="1637751"/>
                  <wp:effectExtent l="171450" t="171450" r="371475"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20405639.jpg"/>
                          <pic:cNvPicPr/>
                        </pic:nvPicPr>
                        <pic:blipFill rotWithShape="1">
                          <a:blip r:embed="rId6" cstate="print">
                            <a:extLst>
                              <a:ext uri="{28A0092B-C50C-407E-A947-70E740481C1C}">
                                <a14:useLocalDpi xmlns:a14="http://schemas.microsoft.com/office/drawing/2010/main" val="0"/>
                              </a:ext>
                            </a:extLst>
                          </a:blip>
                          <a:srcRect l="2427" t="30552" r="9434" b="11041"/>
                          <a:stretch/>
                        </pic:blipFill>
                        <pic:spPr bwMode="auto">
                          <a:xfrm>
                            <a:off x="0" y="0"/>
                            <a:ext cx="1649371" cy="163928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c>
          <w:tcPr>
            <w:tcW w:w="5633" w:type="dxa"/>
          </w:tcPr>
          <w:p w:rsidR="00E45D91" w:rsidRDefault="00E45D91" w:rsidP="00165225">
            <w:pPr>
              <w:rPr>
                <w:rFonts w:ascii="Arial Rounded MT Bold" w:hAnsi="Arial Rounded MT Bold"/>
                <w:color w:val="0070C0"/>
                <w:sz w:val="52"/>
                <w:szCs w:val="52"/>
              </w:rPr>
            </w:pPr>
            <w:r>
              <w:rPr>
                <w:rFonts w:ascii="Arial Rounded MT Bold" w:hAnsi="Arial Rounded MT Bold"/>
                <w:color w:val="0070C0"/>
                <w:sz w:val="52"/>
                <w:szCs w:val="52"/>
              </w:rPr>
              <w:t xml:space="preserve">Safe Families </w:t>
            </w:r>
          </w:p>
          <w:p w:rsidR="00E45D91" w:rsidRPr="002137CC" w:rsidRDefault="00E45D91" w:rsidP="00165225">
            <w:pPr>
              <w:rPr>
                <w:rFonts w:ascii="Arial Rounded MT Bold" w:hAnsi="Arial Rounded MT Bold"/>
                <w:sz w:val="52"/>
                <w:szCs w:val="52"/>
              </w:rPr>
            </w:pPr>
            <w:r>
              <w:rPr>
                <w:rFonts w:ascii="Arial Rounded MT Bold" w:hAnsi="Arial Rounded MT Bold"/>
                <w:color w:val="0070C0"/>
                <w:sz w:val="52"/>
                <w:szCs w:val="52"/>
              </w:rPr>
              <w:t xml:space="preserve">for </w:t>
            </w:r>
            <w:r w:rsidRPr="009778B9">
              <w:rPr>
                <w:rFonts w:ascii="Arial Rounded MT Bold" w:hAnsi="Arial Rounded MT Bold"/>
                <w:color w:val="0070C0"/>
                <w:sz w:val="52"/>
                <w:szCs w:val="52"/>
              </w:rPr>
              <w:t>Children</w:t>
            </w:r>
            <w:r>
              <w:rPr>
                <w:rFonts w:ascii="Arial Rounded MT Bold" w:hAnsi="Arial Rounded MT Bold"/>
                <w:color w:val="0070C0"/>
                <w:sz w:val="52"/>
                <w:szCs w:val="52"/>
              </w:rPr>
              <w:t xml:space="preserve"> </w:t>
            </w:r>
          </w:p>
        </w:tc>
      </w:tr>
      <w:tr w:rsidR="00E45D91" w:rsidTr="00165225">
        <w:trPr>
          <w:trHeight w:val="118"/>
        </w:trPr>
        <w:tc>
          <w:tcPr>
            <w:tcW w:w="3703" w:type="dxa"/>
            <w:vMerge/>
          </w:tcPr>
          <w:p w:rsidR="00E45D91" w:rsidRDefault="00E45D91" w:rsidP="00165225"/>
        </w:tc>
        <w:tc>
          <w:tcPr>
            <w:tcW w:w="5633" w:type="dxa"/>
          </w:tcPr>
          <w:p w:rsidR="00E45D91" w:rsidRDefault="00E45D91" w:rsidP="00165225"/>
        </w:tc>
      </w:tr>
      <w:tr w:rsidR="00E45D91" w:rsidTr="00165225">
        <w:trPr>
          <w:trHeight w:val="118"/>
        </w:trPr>
        <w:tc>
          <w:tcPr>
            <w:tcW w:w="3703" w:type="dxa"/>
            <w:vMerge/>
            <w:tcBorders>
              <w:bottom w:val="nil"/>
            </w:tcBorders>
          </w:tcPr>
          <w:p w:rsidR="00E45D91" w:rsidRDefault="00E45D91" w:rsidP="00165225"/>
        </w:tc>
        <w:tc>
          <w:tcPr>
            <w:tcW w:w="5633" w:type="dxa"/>
            <w:shd w:val="clear" w:color="auto" w:fill="0070C0"/>
            <w:vAlign w:val="center"/>
          </w:tcPr>
          <w:p w:rsidR="00E45D91" w:rsidRPr="002137CC" w:rsidRDefault="00E45D91" w:rsidP="00165225">
            <w:pPr>
              <w:rPr>
                <w:b/>
                <w:color w:val="FFFFFF" w:themeColor="background1"/>
                <w:sz w:val="24"/>
                <w:szCs w:val="24"/>
                <w:u w:val="single"/>
              </w:rPr>
            </w:pPr>
            <w:r w:rsidRPr="002137CC">
              <w:rPr>
                <w:b/>
                <w:color w:val="FFFFFF" w:themeColor="background1"/>
                <w:sz w:val="24"/>
                <w:szCs w:val="24"/>
                <w:u w:val="single"/>
              </w:rPr>
              <w:t>Intent:</w:t>
            </w:r>
          </w:p>
          <w:p w:rsidR="00E45D91" w:rsidRPr="002137CC" w:rsidRDefault="00E45D91" w:rsidP="00165225">
            <w:pPr>
              <w:rPr>
                <w:i/>
                <w:sz w:val="32"/>
                <w:szCs w:val="32"/>
              </w:rPr>
            </w:pPr>
            <w:r>
              <w:rPr>
                <w:i/>
                <w:color w:val="FFFFFF" w:themeColor="background1"/>
                <w:sz w:val="32"/>
                <w:szCs w:val="32"/>
              </w:rPr>
              <w:t>Parents in crisis can choose to have their children live in a safe, temporary home while they retain custody and work through their challenges.</w:t>
            </w:r>
          </w:p>
        </w:tc>
      </w:tr>
    </w:tbl>
    <w:p w:rsidR="00E45D91" w:rsidRDefault="00E45D91" w:rsidP="00E45D91"/>
    <w:p w:rsidR="00E45D91" w:rsidRDefault="00E45D91" w:rsidP="00E45D91">
      <w:pPr>
        <w:rPr>
          <w:b/>
          <w:color w:val="0070C0"/>
          <w:sz w:val="24"/>
          <w:szCs w:val="24"/>
          <w:u w:val="single"/>
        </w:rPr>
      </w:pPr>
    </w:p>
    <w:p w:rsidR="00E45D91" w:rsidRPr="008E49E9" w:rsidRDefault="00E45D91" w:rsidP="00E45D91">
      <w:pPr>
        <w:rPr>
          <w:b/>
          <w:color w:val="0070C0"/>
          <w:u w:val="single"/>
        </w:rPr>
      </w:pPr>
      <w:r w:rsidRPr="008E49E9">
        <w:rPr>
          <w:b/>
          <w:color w:val="0070C0"/>
          <w:u w:val="single"/>
        </w:rPr>
        <w:t>Service Description:</w:t>
      </w:r>
    </w:p>
    <w:p w:rsidR="00E45D91" w:rsidRPr="008E49E9" w:rsidRDefault="00E45D91" w:rsidP="00E45D91">
      <w:pPr>
        <w:autoSpaceDE w:val="0"/>
        <w:autoSpaceDN w:val="0"/>
        <w:adjustRightInd w:val="0"/>
        <w:rPr>
          <w:rFonts w:cstheme="minorHAnsi"/>
        </w:rPr>
      </w:pPr>
      <w:r w:rsidRPr="008E49E9">
        <w:rPr>
          <w:rFonts w:cstheme="minorHAnsi"/>
        </w:rPr>
        <w:t xml:space="preserve">When a crisis strikes, many of us rely on relatives and friends for support. But for some families, social isolation and poverty mean they don’t have these resources. Difficulties such as hospitalization, homelessness, incarceration, or unemployment can be debilitating. Children may face an increased risk of neglect, abuse, or removal from home. </w:t>
      </w:r>
    </w:p>
    <w:p w:rsidR="00E45D91" w:rsidRPr="008E49E9" w:rsidRDefault="00E45D91" w:rsidP="00E45D91">
      <w:pPr>
        <w:autoSpaceDE w:val="0"/>
        <w:autoSpaceDN w:val="0"/>
        <w:adjustRightInd w:val="0"/>
        <w:rPr>
          <w:rFonts w:cstheme="minorHAnsi"/>
        </w:rPr>
      </w:pPr>
    </w:p>
    <w:p w:rsidR="00E45D91" w:rsidRPr="008E49E9" w:rsidRDefault="00E45D91" w:rsidP="00E45D91">
      <w:pPr>
        <w:autoSpaceDE w:val="0"/>
        <w:autoSpaceDN w:val="0"/>
        <w:adjustRightInd w:val="0"/>
        <w:rPr>
          <w:rFonts w:cstheme="minorHAnsi"/>
        </w:rPr>
      </w:pPr>
      <w:r w:rsidRPr="008E49E9">
        <w:rPr>
          <w:rFonts w:cstheme="minorHAnsi"/>
        </w:rPr>
        <w:t>During a temporary crisis, parents can get help from a Safe Families host home while retaining custody of their children. They can arrange for their children to stay in a trustworthy host home while they address issues. There is no charge for this service, and volunteers are not compensated financially for their participation.</w:t>
      </w:r>
    </w:p>
    <w:p w:rsidR="00E45D91" w:rsidRPr="008E49E9" w:rsidRDefault="00E45D91" w:rsidP="00E45D91">
      <w:pPr>
        <w:autoSpaceDE w:val="0"/>
        <w:autoSpaceDN w:val="0"/>
        <w:adjustRightInd w:val="0"/>
        <w:rPr>
          <w:rFonts w:cstheme="minorHAnsi"/>
        </w:rPr>
      </w:pPr>
    </w:p>
    <w:p w:rsidR="00E45D91" w:rsidRPr="008E49E9" w:rsidRDefault="00E45D91" w:rsidP="00E45D91">
      <w:pPr>
        <w:contextualSpacing/>
        <w:rPr>
          <w:rFonts w:ascii="Calibri" w:hAnsi="Calibri"/>
        </w:rPr>
      </w:pPr>
      <w:r w:rsidRPr="008E49E9">
        <w:rPr>
          <w:rFonts w:ascii="Calibri" w:hAnsi="Calibri"/>
        </w:rPr>
        <w:t xml:space="preserve">The program provides: </w:t>
      </w:r>
    </w:p>
    <w:p w:rsidR="00E45D91" w:rsidRPr="008E49E9" w:rsidRDefault="00E45D91" w:rsidP="00E45D91">
      <w:pPr>
        <w:numPr>
          <w:ilvl w:val="0"/>
          <w:numId w:val="1"/>
        </w:numPr>
        <w:contextualSpacing/>
        <w:rPr>
          <w:rFonts w:ascii="Calibri" w:hAnsi="Calibri" w:cs="Times New Roman"/>
        </w:rPr>
      </w:pPr>
      <w:r w:rsidRPr="008E49E9">
        <w:rPr>
          <w:rFonts w:ascii="Calibri" w:hAnsi="Calibri" w:cs="Times New Roman"/>
        </w:rPr>
        <w:t xml:space="preserve">Short-term respite of a few days, weeks, or months, with the average hosting lasting 45 days. </w:t>
      </w:r>
    </w:p>
    <w:p w:rsidR="00E45D91" w:rsidRPr="008E49E9" w:rsidRDefault="00E45D91" w:rsidP="00E45D91">
      <w:pPr>
        <w:numPr>
          <w:ilvl w:val="0"/>
          <w:numId w:val="1"/>
        </w:numPr>
        <w:contextualSpacing/>
        <w:rPr>
          <w:rFonts w:ascii="Calibri" w:hAnsi="Calibri" w:cs="Times New Roman"/>
        </w:rPr>
      </w:pPr>
      <w:r w:rsidRPr="008E49E9">
        <w:rPr>
          <w:rFonts w:ascii="Calibri" w:hAnsi="Calibri" w:cs="Times New Roman"/>
        </w:rPr>
        <w:t>Host providers complete background clearances and training to ensure care will be safe, sufficient, and satisfactory.</w:t>
      </w:r>
    </w:p>
    <w:p w:rsidR="00E45D91" w:rsidRPr="008E49E9" w:rsidRDefault="00E45D91" w:rsidP="00E45D91">
      <w:pPr>
        <w:numPr>
          <w:ilvl w:val="0"/>
          <w:numId w:val="1"/>
        </w:numPr>
        <w:contextualSpacing/>
        <w:rPr>
          <w:rFonts w:ascii="Calibri" w:hAnsi="Calibri" w:cs="Times New Roman"/>
        </w:rPr>
      </w:pPr>
      <w:r w:rsidRPr="008E49E9">
        <w:rPr>
          <w:rFonts w:ascii="Calibri" w:hAnsi="Calibri" w:cs="Times New Roman"/>
        </w:rPr>
        <w:t xml:space="preserve">Wraparound services, including case management, mentoring (for children and parents), and assistance with resources. </w:t>
      </w:r>
    </w:p>
    <w:p w:rsidR="00E45D91" w:rsidRPr="008E49E9" w:rsidRDefault="00E45D91" w:rsidP="00E45D91">
      <w:pPr>
        <w:numPr>
          <w:ilvl w:val="0"/>
          <w:numId w:val="1"/>
        </w:numPr>
        <w:contextualSpacing/>
        <w:rPr>
          <w:rFonts w:ascii="Calibri" w:hAnsi="Calibri" w:cs="Times New Roman"/>
        </w:rPr>
      </w:pPr>
      <w:proofErr w:type="gramStart"/>
      <w:r w:rsidRPr="008E49E9">
        <w:rPr>
          <w:rFonts w:ascii="Calibri" w:hAnsi="Calibri" w:cs="Times New Roman"/>
        </w:rPr>
        <w:t>A commitment to have the child return</w:t>
      </w:r>
      <w:proofErr w:type="gramEnd"/>
      <w:r w:rsidRPr="008E49E9">
        <w:rPr>
          <w:rFonts w:ascii="Calibri" w:hAnsi="Calibri" w:cs="Times New Roman"/>
        </w:rPr>
        <w:t xml:space="preserve"> to the family as soon as possible. </w:t>
      </w:r>
    </w:p>
    <w:p w:rsidR="00E45D91" w:rsidRPr="008E49E9" w:rsidRDefault="00E45D91" w:rsidP="00E45D91">
      <w:pPr>
        <w:contextualSpacing/>
        <w:rPr>
          <w:rFonts w:ascii="Calibri" w:hAnsi="Calibri"/>
        </w:rPr>
      </w:pPr>
    </w:p>
    <w:p w:rsidR="00E45D91" w:rsidRPr="008E49E9" w:rsidRDefault="00E45D91" w:rsidP="00E45D91">
      <w:pPr>
        <w:rPr>
          <w:b/>
          <w:color w:val="0070C0"/>
          <w:u w:val="single"/>
        </w:rPr>
      </w:pPr>
      <w:r w:rsidRPr="008E49E9">
        <w:rPr>
          <w:b/>
          <w:color w:val="0070C0"/>
          <w:u w:val="single"/>
        </w:rPr>
        <w:t xml:space="preserve">Who </w:t>
      </w:r>
      <w:proofErr w:type="gramStart"/>
      <w:r w:rsidRPr="008E49E9">
        <w:rPr>
          <w:b/>
          <w:color w:val="0070C0"/>
          <w:u w:val="single"/>
        </w:rPr>
        <w:t>Qualifies:</w:t>
      </w:r>
      <w:proofErr w:type="gramEnd"/>
    </w:p>
    <w:p w:rsidR="00E45D91" w:rsidRPr="008E49E9" w:rsidRDefault="00E45D91" w:rsidP="00E45D91">
      <w:r w:rsidRPr="008E49E9">
        <w:t xml:space="preserve">Low- to moderate-risk families in crisis who are involved in a CFSA Child Protective Services investigation or family assessment or in an in-home case—or are involved with one of the Healthy Families/Thriving Communities </w:t>
      </w:r>
      <w:proofErr w:type="spellStart"/>
      <w:r w:rsidRPr="008E49E9">
        <w:t>Collaboratives</w:t>
      </w:r>
      <w:proofErr w:type="spellEnd"/>
    </w:p>
    <w:p w:rsidR="00E45D91" w:rsidRPr="008E49E9" w:rsidRDefault="00E45D91" w:rsidP="00E45D91"/>
    <w:p w:rsidR="00E45D91" w:rsidRPr="008E49E9" w:rsidRDefault="00E45D91" w:rsidP="00E45D91">
      <w:r w:rsidRPr="008E49E9">
        <w:t>Examples include a parent/family without support from relatives or friends and:</w:t>
      </w:r>
    </w:p>
    <w:p w:rsidR="00E45D91" w:rsidRPr="008E49E9" w:rsidRDefault="00E45D91" w:rsidP="00E45D91">
      <w:pPr>
        <w:numPr>
          <w:ilvl w:val="0"/>
          <w:numId w:val="1"/>
        </w:numPr>
        <w:contextualSpacing/>
        <w:rPr>
          <w:rFonts w:ascii="Calibri" w:hAnsi="Calibri" w:cs="Times New Roman"/>
        </w:rPr>
      </w:pPr>
      <w:r w:rsidRPr="008E49E9">
        <w:t>Experiencing short-term homelessness.</w:t>
      </w:r>
    </w:p>
    <w:p w:rsidR="00E45D91" w:rsidRPr="008E49E9" w:rsidRDefault="00E45D91" w:rsidP="00E45D91">
      <w:pPr>
        <w:numPr>
          <w:ilvl w:val="0"/>
          <w:numId w:val="1"/>
        </w:numPr>
        <w:contextualSpacing/>
        <w:rPr>
          <w:rFonts w:ascii="Calibri" w:hAnsi="Calibri" w:cs="Times New Roman"/>
        </w:rPr>
      </w:pPr>
      <w:r w:rsidRPr="008E49E9">
        <w:t>Needing hospitalization (surgery, substance abuse treatment, etc.)</w:t>
      </w:r>
      <w:r w:rsidRPr="008E49E9">
        <w:rPr>
          <w:rFonts w:ascii="Calibri" w:hAnsi="Calibri" w:cs="Times New Roman"/>
        </w:rPr>
        <w:t>.</w:t>
      </w:r>
    </w:p>
    <w:p w:rsidR="00E45D91" w:rsidRPr="008E49E9" w:rsidRDefault="00E45D91" w:rsidP="00E45D91">
      <w:pPr>
        <w:numPr>
          <w:ilvl w:val="0"/>
          <w:numId w:val="1"/>
        </w:numPr>
        <w:contextualSpacing/>
        <w:rPr>
          <w:rFonts w:ascii="Calibri" w:hAnsi="Calibri" w:cs="Times New Roman"/>
        </w:rPr>
      </w:pPr>
      <w:r w:rsidRPr="008E49E9">
        <w:t>Coping with job loss</w:t>
      </w:r>
      <w:r w:rsidRPr="008E49E9">
        <w:rPr>
          <w:rFonts w:ascii="Calibri" w:hAnsi="Calibri" w:cs="Times New Roman"/>
        </w:rPr>
        <w:t>.</w:t>
      </w:r>
    </w:p>
    <w:p w:rsidR="00E45D91" w:rsidRPr="008E49E9" w:rsidRDefault="00E45D91" w:rsidP="00E45D91">
      <w:pPr>
        <w:numPr>
          <w:ilvl w:val="0"/>
          <w:numId w:val="1"/>
        </w:numPr>
        <w:contextualSpacing/>
        <w:rPr>
          <w:rFonts w:ascii="Calibri" w:hAnsi="Calibri" w:cs="Times New Roman"/>
        </w:rPr>
      </w:pPr>
      <w:r w:rsidRPr="008E49E9">
        <w:rPr>
          <w:rFonts w:ascii="Calibri" w:hAnsi="Calibri" w:cs="Times New Roman"/>
        </w:rPr>
        <w:t>Serving a short-term jail or prison sentence.</w:t>
      </w:r>
    </w:p>
    <w:p w:rsidR="00E45D91" w:rsidRPr="008E49E9" w:rsidRDefault="00E45D91" w:rsidP="00E45D91">
      <w:pPr>
        <w:numPr>
          <w:ilvl w:val="0"/>
          <w:numId w:val="1"/>
        </w:numPr>
        <w:contextualSpacing/>
        <w:rPr>
          <w:rFonts w:ascii="Calibri" w:hAnsi="Calibri" w:cs="Times New Roman"/>
        </w:rPr>
      </w:pPr>
      <w:r w:rsidRPr="008E49E9">
        <w:t>Facing a temporary but overwhelming situation that makes caring for children difficult.</w:t>
      </w:r>
    </w:p>
    <w:p w:rsidR="00E45D91" w:rsidRPr="008E49E9" w:rsidRDefault="00E45D91" w:rsidP="00E45D91">
      <w:pPr>
        <w:ind w:left="720"/>
        <w:contextualSpacing/>
        <w:rPr>
          <w:rFonts w:ascii="Calibri" w:hAnsi="Calibri" w:cs="Times New Roman"/>
        </w:rPr>
      </w:pPr>
    </w:p>
    <w:p w:rsidR="00E45D91" w:rsidRPr="008E49E9" w:rsidRDefault="00E45D91" w:rsidP="00E45D91">
      <w:pPr>
        <w:rPr>
          <w:b/>
          <w:color w:val="0070C0"/>
          <w:u w:val="single"/>
        </w:rPr>
      </w:pPr>
      <w:r w:rsidRPr="008E49E9">
        <w:rPr>
          <w:b/>
          <w:color w:val="0070C0"/>
          <w:u w:val="single"/>
        </w:rPr>
        <w:t>Provider/Period of Service:</w:t>
      </w:r>
    </w:p>
    <w:p w:rsidR="00E45D91" w:rsidRPr="008E49E9" w:rsidRDefault="00E45D91" w:rsidP="00E45D91">
      <w:r w:rsidRPr="008E49E9">
        <w:t>Safe Families for Children, April 2015-April 2016</w:t>
      </w:r>
    </w:p>
    <w:p w:rsidR="00E45D91" w:rsidRPr="008E49E9" w:rsidRDefault="00E45D91" w:rsidP="00E45D91"/>
    <w:p w:rsidR="00E45D91" w:rsidRPr="008E49E9" w:rsidRDefault="00E45D91" w:rsidP="00E45D91">
      <w:pPr>
        <w:rPr>
          <w:b/>
          <w:color w:val="0070C0"/>
          <w:u w:val="single"/>
        </w:rPr>
      </w:pPr>
      <w:r w:rsidRPr="008E49E9">
        <w:rPr>
          <w:b/>
          <w:color w:val="0070C0"/>
          <w:u w:val="single"/>
        </w:rPr>
        <w:t>Referral Process:</w:t>
      </w:r>
    </w:p>
    <w:p w:rsidR="00E45D91" w:rsidRPr="008E49E9" w:rsidRDefault="00E45D91" w:rsidP="00E45D91">
      <w:pPr>
        <w:rPr>
          <w:rFonts w:ascii="Calibri" w:hAnsi="Calibri"/>
        </w:rPr>
      </w:pPr>
      <w:r w:rsidRPr="008E49E9">
        <w:rPr>
          <w:rFonts w:ascii="Calibri" w:hAnsi="Calibri"/>
        </w:rPr>
        <w:t>Social worker completes the online referral form using the following steps:</w:t>
      </w:r>
    </w:p>
    <w:p w:rsidR="00E45D91" w:rsidRPr="008E49E9" w:rsidRDefault="00E45D91" w:rsidP="00E45D91">
      <w:pPr>
        <w:pStyle w:val="ListParagraph"/>
        <w:numPr>
          <w:ilvl w:val="0"/>
          <w:numId w:val="2"/>
        </w:numPr>
        <w:ind w:left="900" w:hanging="450"/>
        <w:rPr>
          <w:rFonts w:ascii="Calibri" w:hAnsi="Calibri"/>
        </w:rPr>
      </w:pPr>
      <w:r w:rsidRPr="008E49E9">
        <w:rPr>
          <w:rFonts w:ascii="Calibri" w:hAnsi="Calibri"/>
        </w:rPr>
        <w:t xml:space="preserve">Go to </w:t>
      </w:r>
      <w:hyperlink r:id="rId7" w:history="1">
        <w:r w:rsidRPr="008E49E9">
          <w:rPr>
            <w:rStyle w:val="Hyperlink"/>
            <w:rFonts w:ascii="Calibri" w:hAnsi="Calibri"/>
          </w:rPr>
          <w:t>www.dc127.org/referral</w:t>
        </w:r>
      </w:hyperlink>
      <w:r w:rsidRPr="008E49E9">
        <w:rPr>
          <w:rStyle w:val="Hyperlink"/>
          <w:rFonts w:ascii="Calibri" w:hAnsi="Calibri"/>
        </w:rPr>
        <w:t>,</w:t>
      </w:r>
      <w:r w:rsidRPr="008E49E9">
        <w:rPr>
          <w:rFonts w:ascii="Calibri" w:hAnsi="Calibri"/>
        </w:rPr>
        <w:t xml:space="preserve"> </w:t>
      </w:r>
    </w:p>
    <w:p w:rsidR="00E45D91" w:rsidRPr="008E49E9" w:rsidRDefault="00E45D91" w:rsidP="00E45D91">
      <w:pPr>
        <w:pStyle w:val="ListParagraph"/>
        <w:numPr>
          <w:ilvl w:val="0"/>
          <w:numId w:val="2"/>
        </w:numPr>
        <w:ind w:left="900" w:hanging="450"/>
        <w:rPr>
          <w:rFonts w:ascii="Calibri" w:hAnsi="Calibri"/>
        </w:rPr>
      </w:pPr>
      <w:r w:rsidRPr="008E49E9">
        <w:rPr>
          <w:rFonts w:ascii="Calibri" w:hAnsi="Calibri"/>
        </w:rPr>
        <w:t xml:space="preserve">Under the section To Make a Referral, click on </w:t>
      </w:r>
      <w:r w:rsidRPr="008E49E9">
        <w:rPr>
          <w:rFonts w:ascii="Calibri" w:hAnsi="Calibri" w:cs="Times"/>
        </w:rPr>
        <w:t xml:space="preserve">the </w:t>
      </w:r>
      <w:hyperlink r:id="rId8" w:history="1">
        <w:r w:rsidRPr="008E49E9">
          <w:rPr>
            <w:rFonts w:ascii="Calibri" w:hAnsi="Calibri" w:cs="Times"/>
          </w:rPr>
          <w:t>Safe Families Preliminary Referral Form</w:t>
        </w:r>
      </w:hyperlink>
      <w:r w:rsidRPr="008E49E9">
        <w:rPr>
          <w:rFonts w:ascii="Calibri" w:hAnsi="Calibri" w:cs="Times"/>
        </w:rPr>
        <w:t>, </w:t>
      </w:r>
    </w:p>
    <w:p w:rsidR="00E45D91" w:rsidRPr="008E49E9" w:rsidRDefault="00E45D91" w:rsidP="00E45D91">
      <w:pPr>
        <w:pStyle w:val="ListParagraph"/>
        <w:numPr>
          <w:ilvl w:val="0"/>
          <w:numId w:val="2"/>
        </w:numPr>
        <w:ind w:left="900" w:hanging="450"/>
        <w:rPr>
          <w:rFonts w:ascii="Calibri" w:hAnsi="Calibri"/>
        </w:rPr>
      </w:pPr>
      <w:r w:rsidRPr="008E49E9">
        <w:rPr>
          <w:rFonts w:ascii="Calibri" w:hAnsi="Calibri" w:cs="Times"/>
        </w:rPr>
        <w:t xml:space="preserve">Complete the referral form and email it to </w:t>
      </w:r>
      <w:hyperlink r:id="rId9" w:history="1">
        <w:r w:rsidRPr="008E49E9">
          <w:rPr>
            <w:rStyle w:val="Hyperlink"/>
            <w:rFonts w:ascii="Calibri" w:hAnsi="Calibri" w:cs="Times"/>
          </w:rPr>
          <w:t>referral@dc127.org</w:t>
        </w:r>
      </w:hyperlink>
      <w:r w:rsidRPr="008E49E9">
        <w:rPr>
          <w:rFonts w:ascii="Calibri" w:hAnsi="Calibri" w:cs="Times"/>
        </w:rPr>
        <w:t xml:space="preserve">, and </w:t>
      </w:r>
    </w:p>
    <w:p w:rsidR="00E45D91" w:rsidRPr="008E49E9" w:rsidRDefault="00E45D91" w:rsidP="00E45D91">
      <w:pPr>
        <w:pStyle w:val="ListParagraph"/>
        <w:numPr>
          <w:ilvl w:val="0"/>
          <w:numId w:val="2"/>
        </w:numPr>
        <w:ind w:left="900" w:hanging="450"/>
        <w:rPr>
          <w:rFonts w:ascii="Calibri" w:hAnsi="Calibri"/>
        </w:rPr>
      </w:pPr>
      <w:r w:rsidRPr="008E49E9">
        <w:rPr>
          <w:rFonts w:ascii="Calibri" w:hAnsi="Calibri"/>
        </w:rPr>
        <w:t>Call and speak with a Safe Families for Children staff member at 202-670-1145.</w:t>
      </w:r>
    </w:p>
    <w:p w:rsidR="00E45D91" w:rsidRPr="008E49E9" w:rsidRDefault="00E45D91" w:rsidP="00E45D91"/>
    <w:p w:rsidR="00E45D91" w:rsidRPr="008E49E9" w:rsidRDefault="00E45D91" w:rsidP="00E45D91">
      <w:pPr>
        <w:rPr>
          <w:b/>
          <w:color w:val="0070C0"/>
          <w:u w:val="single"/>
        </w:rPr>
      </w:pPr>
      <w:r w:rsidRPr="008E49E9">
        <w:rPr>
          <w:b/>
          <w:color w:val="0070C0"/>
          <w:u w:val="single"/>
        </w:rPr>
        <w:t>For More Information:</w:t>
      </w:r>
    </w:p>
    <w:p w:rsidR="00E45D91" w:rsidRPr="008E49E9" w:rsidRDefault="00E45D91" w:rsidP="00E45D91">
      <w:r w:rsidRPr="008E49E9">
        <w:t xml:space="preserve">Stephanie Boyd, project assistant, CFSA Community Partnerships, </w:t>
      </w:r>
      <w:hyperlink r:id="rId10" w:history="1">
        <w:r w:rsidRPr="008E49E9">
          <w:rPr>
            <w:rStyle w:val="Hyperlink"/>
          </w:rPr>
          <w:t>stephanie.boyd@dc.gov</w:t>
        </w:r>
      </w:hyperlink>
      <w:r w:rsidRPr="008E49E9">
        <w:t>; 202-724-7147</w:t>
      </w:r>
    </w:p>
    <w:p w:rsidR="00EE2F9F" w:rsidRDefault="00EE2F9F">
      <w:bookmarkStart w:id="0" w:name="_GoBack"/>
      <w:bookmarkEnd w:id="0"/>
    </w:p>
    <w:sectPr w:rsidR="00EE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0C12"/>
    <w:multiLevelType w:val="hybridMultilevel"/>
    <w:tmpl w:val="6FDCABB4"/>
    <w:lvl w:ilvl="0" w:tplc="89DC42CC">
      <w:start w:val="1"/>
      <w:numFmt w:val="bullet"/>
      <w:lvlText w:val="•"/>
      <w:lvlJc w:val="left"/>
      <w:pPr>
        <w:tabs>
          <w:tab w:val="num" w:pos="720"/>
        </w:tabs>
        <w:ind w:left="720" w:hanging="360"/>
      </w:pPr>
      <w:rPr>
        <w:rFonts w:ascii="Arial" w:hAnsi="Arial" w:hint="default"/>
      </w:rPr>
    </w:lvl>
    <w:lvl w:ilvl="1" w:tplc="0D62BE0C" w:tentative="1">
      <w:start w:val="1"/>
      <w:numFmt w:val="bullet"/>
      <w:lvlText w:val="•"/>
      <w:lvlJc w:val="left"/>
      <w:pPr>
        <w:tabs>
          <w:tab w:val="num" w:pos="1440"/>
        </w:tabs>
        <w:ind w:left="1440" w:hanging="360"/>
      </w:pPr>
      <w:rPr>
        <w:rFonts w:ascii="Arial" w:hAnsi="Arial" w:hint="default"/>
      </w:rPr>
    </w:lvl>
    <w:lvl w:ilvl="2" w:tplc="5F34EB0A" w:tentative="1">
      <w:start w:val="1"/>
      <w:numFmt w:val="bullet"/>
      <w:lvlText w:val="•"/>
      <w:lvlJc w:val="left"/>
      <w:pPr>
        <w:tabs>
          <w:tab w:val="num" w:pos="2160"/>
        </w:tabs>
        <w:ind w:left="2160" w:hanging="360"/>
      </w:pPr>
      <w:rPr>
        <w:rFonts w:ascii="Arial" w:hAnsi="Arial" w:hint="default"/>
      </w:rPr>
    </w:lvl>
    <w:lvl w:ilvl="3" w:tplc="66B824D6" w:tentative="1">
      <w:start w:val="1"/>
      <w:numFmt w:val="bullet"/>
      <w:lvlText w:val="•"/>
      <w:lvlJc w:val="left"/>
      <w:pPr>
        <w:tabs>
          <w:tab w:val="num" w:pos="2880"/>
        </w:tabs>
        <w:ind w:left="2880" w:hanging="360"/>
      </w:pPr>
      <w:rPr>
        <w:rFonts w:ascii="Arial" w:hAnsi="Arial" w:hint="default"/>
      </w:rPr>
    </w:lvl>
    <w:lvl w:ilvl="4" w:tplc="836EACB6" w:tentative="1">
      <w:start w:val="1"/>
      <w:numFmt w:val="bullet"/>
      <w:lvlText w:val="•"/>
      <w:lvlJc w:val="left"/>
      <w:pPr>
        <w:tabs>
          <w:tab w:val="num" w:pos="3600"/>
        </w:tabs>
        <w:ind w:left="3600" w:hanging="360"/>
      </w:pPr>
      <w:rPr>
        <w:rFonts w:ascii="Arial" w:hAnsi="Arial" w:hint="default"/>
      </w:rPr>
    </w:lvl>
    <w:lvl w:ilvl="5" w:tplc="4EBE5938" w:tentative="1">
      <w:start w:val="1"/>
      <w:numFmt w:val="bullet"/>
      <w:lvlText w:val="•"/>
      <w:lvlJc w:val="left"/>
      <w:pPr>
        <w:tabs>
          <w:tab w:val="num" w:pos="4320"/>
        </w:tabs>
        <w:ind w:left="4320" w:hanging="360"/>
      </w:pPr>
      <w:rPr>
        <w:rFonts w:ascii="Arial" w:hAnsi="Arial" w:hint="default"/>
      </w:rPr>
    </w:lvl>
    <w:lvl w:ilvl="6" w:tplc="11D0B330" w:tentative="1">
      <w:start w:val="1"/>
      <w:numFmt w:val="bullet"/>
      <w:lvlText w:val="•"/>
      <w:lvlJc w:val="left"/>
      <w:pPr>
        <w:tabs>
          <w:tab w:val="num" w:pos="5040"/>
        </w:tabs>
        <w:ind w:left="5040" w:hanging="360"/>
      </w:pPr>
      <w:rPr>
        <w:rFonts w:ascii="Arial" w:hAnsi="Arial" w:hint="default"/>
      </w:rPr>
    </w:lvl>
    <w:lvl w:ilvl="7" w:tplc="BC3CC01A" w:tentative="1">
      <w:start w:val="1"/>
      <w:numFmt w:val="bullet"/>
      <w:lvlText w:val="•"/>
      <w:lvlJc w:val="left"/>
      <w:pPr>
        <w:tabs>
          <w:tab w:val="num" w:pos="5760"/>
        </w:tabs>
        <w:ind w:left="5760" w:hanging="360"/>
      </w:pPr>
      <w:rPr>
        <w:rFonts w:ascii="Arial" w:hAnsi="Arial" w:hint="default"/>
      </w:rPr>
    </w:lvl>
    <w:lvl w:ilvl="8" w:tplc="16A06BEE" w:tentative="1">
      <w:start w:val="1"/>
      <w:numFmt w:val="bullet"/>
      <w:lvlText w:val="•"/>
      <w:lvlJc w:val="left"/>
      <w:pPr>
        <w:tabs>
          <w:tab w:val="num" w:pos="6480"/>
        </w:tabs>
        <w:ind w:left="6480" w:hanging="360"/>
      </w:pPr>
      <w:rPr>
        <w:rFonts w:ascii="Arial" w:hAnsi="Arial" w:hint="default"/>
      </w:rPr>
    </w:lvl>
  </w:abstractNum>
  <w:abstractNum w:abstractNumId="1">
    <w:nsid w:val="3B1A0D90"/>
    <w:multiLevelType w:val="hybridMultilevel"/>
    <w:tmpl w:val="E2E64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1"/>
    <w:rsid w:val="00E45D91"/>
    <w:rsid w:val="00EE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91"/>
    <w:pPr>
      <w:ind w:left="720"/>
      <w:contextualSpacing/>
    </w:pPr>
  </w:style>
  <w:style w:type="character" w:styleId="Hyperlink">
    <w:name w:val="Hyperlink"/>
    <w:basedOn w:val="DefaultParagraphFont"/>
    <w:uiPriority w:val="99"/>
    <w:unhideWhenUsed/>
    <w:rsid w:val="00E45D91"/>
    <w:rPr>
      <w:color w:val="0000FF" w:themeColor="hyperlink"/>
      <w:u w:val="single"/>
    </w:rPr>
  </w:style>
  <w:style w:type="paragraph" w:styleId="BalloonText">
    <w:name w:val="Balloon Text"/>
    <w:basedOn w:val="Normal"/>
    <w:link w:val="BalloonTextChar"/>
    <w:uiPriority w:val="99"/>
    <w:semiHidden/>
    <w:unhideWhenUsed/>
    <w:rsid w:val="00E45D91"/>
    <w:rPr>
      <w:rFonts w:ascii="Tahoma" w:hAnsi="Tahoma" w:cs="Tahoma"/>
      <w:sz w:val="16"/>
      <w:szCs w:val="16"/>
    </w:rPr>
  </w:style>
  <w:style w:type="character" w:customStyle="1" w:styleId="BalloonTextChar">
    <w:name w:val="Balloon Text Char"/>
    <w:basedOn w:val="DefaultParagraphFont"/>
    <w:link w:val="BalloonText"/>
    <w:uiPriority w:val="99"/>
    <w:semiHidden/>
    <w:rsid w:val="00E45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91"/>
    <w:pPr>
      <w:ind w:left="720"/>
      <w:contextualSpacing/>
    </w:pPr>
  </w:style>
  <w:style w:type="character" w:styleId="Hyperlink">
    <w:name w:val="Hyperlink"/>
    <w:basedOn w:val="DefaultParagraphFont"/>
    <w:uiPriority w:val="99"/>
    <w:unhideWhenUsed/>
    <w:rsid w:val="00E45D91"/>
    <w:rPr>
      <w:color w:val="0000FF" w:themeColor="hyperlink"/>
      <w:u w:val="single"/>
    </w:rPr>
  </w:style>
  <w:style w:type="paragraph" w:styleId="BalloonText">
    <w:name w:val="Balloon Text"/>
    <w:basedOn w:val="Normal"/>
    <w:link w:val="BalloonTextChar"/>
    <w:uiPriority w:val="99"/>
    <w:semiHidden/>
    <w:unhideWhenUsed/>
    <w:rsid w:val="00E45D91"/>
    <w:rPr>
      <w:rFonts w:ascii="Tahoma" w:hAnsi="Tahoma" w:cs="Tahoma"/>
      <w:sz w:val="16"/>
      <w:szCs w:val="16"/>
    </w:rPr>
  </w:style>
  <w:style w:type="character" w:customStyle="1" w:styleId="BalloonTextChar">
    <w:name w:val="Balloon Text Char"/>
    <w:basedOn w:val="DefaultParagraphFont"/>
    <w:link w:val="BalloonText"/>
    <w:uiPriority w:val="99"/>
    <w:semiHidden/>
    <w:rsid w:val="00E4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127.org/wp-content/uploads/2015/08/SFFC-Preliminary-Referral-Form-1.pdf" TargetMode="External"/><Relationship Id="rId3" Type="http://schemas.microsoft.com/office/2007/relationships/stylesWithEffects" Target="stylesWithEffects.xml"/><Relationship Id="rId7" Type="http://schemas.openxmlformats.org/officeDocument/2006/relationships/hyperlink" Target="http://www.dc127.org/refer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anie.boyd@dc.gov" TargetMode="External"/><Relationship Id="rId4" Type="http://schemas.openxmlformats.org/officeDocument/2006/relationships/settings" Target="settings.xml"/><Relationship Id="rId9" Type="http://schemas.openxmlformats.org/officeDocument/2006/relationships/hyperlink" Target="mailto:referral@dc12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2015-09-28T20:04:00Z</dcterms:created>
  <dcterms:modified xsi:type="dcterms:W3CDTF">2015-09-28T20:05:00Z</dcterms:modified>
</cp:coreProperties>
</file>